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广元市财政局</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keepNext w:val="0"/>
        <w:keepLines w:val="0"/>
        <w:pageBreakBefore w:val="0"/>
        <w:kinsoku/>
        <w:wordWrap/>
        <w:overflowPunct/>
        <w:topLinePunct w:val="0"/>
        <w:autoSpaceDE/>
        <w:autoSpaceDN/>
        <w:bidi w:val="0"/>
        <w:adjustRightInd/>
        <w:snapToGrid/>
        <w:spacing w:line="576" w:lineRule="exact"/>
        <w:jc w:val="center"/>
        <w:textAlignment w:val="auto"/>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(1)</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(1)</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（二）单位2024年重点工作...........................(3)</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.(4)</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三、收支预算情况说..................................(5)</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（一）收入预算情况...................................(5)</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(5)</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四、财政拨款收支预算情况说明.........................(6)</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(6)</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(6)</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..(7)</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.(7)</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..(8)</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...(9)</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.(9)</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(10)</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十、其他重要事项的情况说明.........................(10)</w:t>
      </w:r>
    </w:p>
    <w:p>
      <w:pPr>
        <w:keepNext w:val="0"/>
        <w:keepLines w:val="0"/>
        <w:pageBreakBefore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.(10)</w:t>
      </w: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FF0000"/>
          <w:spacing w:val="0"/>
          <w:sz w:val="28"/>
          <w:szCs w:val="28"/>
          <w:highlight w:val="none"/>
          <w:shd w:val="clear" w:color="auto" w:fill="FFFFFF"/>
          <w:lang w:val="en-US" w:eastAsia="zh-CN"/>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sectPr>
          <w:pgSz w:w="11906" w:h="16838"/>
          <w:pgMar w:top="2098" w:right="1474" w:bottom="1984" w:left="1587" w:header="720" w:footer="1559" w:gutter="0"/>
          <w:pgNumType w:fmt="decimal"/>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广元市财政局</w:t>
      </w:r>
      <w:r>
        <w:rPr>
          <w:rFonts w:hint="eastAsia" w:ascii="楷体_GB2312" w:hAnsi="楷体_GB2312" w:eastAsia="楷体_GB2312" w:cs="楷体_GB2312"/>
          <w:sz w:val="32"/>
          <w:szCs w:val="32"/>
        </w:rPr>
        <w:t>职能简介</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w:t>
      </w:r>
      <w:r>
        <w:rPr>
          <w:rFonts w:hint="default" w:ascii="仿宋_GB2312" w:hAnsi="仿宋_GB2312" w:eastAsia="仿宋_GB2312" w:cs="仿宋_GB2312"/>
          <w:color w:val="auto"/>
          <w:kern w:val="2"/>
          <w:sz w:val="32"/>
          <w:szCs w:val="32"/>
          <w:lang w:val="en-US" w:eastAsia="zh-CN" w:bidi="ar-SA"/>
        </w:rPr>
        <w:t>拟订全市财税发展战略、规划、政策和改革方案并组织实施。分析预测宏观经济形势，参与制定宏观经济政策，提出运用财税政策实施宏观调控和综合平衡社会财力的建议。拟定市与县（区）、开发区的分配政策，完善鼓励公益事业发展的财税政策。</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w:t>
      </w:r>
      <w:r>
        <w:rPr>
          <w:rFonts w:hint="default" w:ascii="仿宋_GB2312" w:hAnsi="仿宋_GB2312" w:eastAsia="仿宋_GB2312" w:cs="仿宋_GB2312"/>
          <w:color w:val="auto"/>
          <w:kern w:val="2"/>
          <w:sz w:val="32"/>
          <w:szCs w:val="32"/>
          <w:lang w:val="en-US" w:eastAsia="zh-CN" w:bidi="ar-SA"/>
        </w:rPr>
        <w:t>贯彻执行财政、税收、财务、会计管理的法律法规和规章。参与起草财政、税收、财务、会计管理方面的地方性法律和规章，并指导、监督执行。按照管理权限管理全市税政事项。</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w:t>
      </w:r>
      <w:r>
        <w:rPr>
          <w:rFonts w:hint="default" w:ascii="仿宋_GB2312" w:hAnsi="仿宋_GB2312" w:eastAsia="仿宋_GB2312" w:cs="仿宋_GB2312"/>
          <w:color w:val="auto"/>
          <w:kern w:val="2"/>
          <w:sz w:val="32"/>
          <w:szCs w:val="32"/>
          <w:lang w:val="en-US" w:eastAsia="zh-CN" w:bidi="ar-SA"/>
        </w:rPr>
        <w:t>负责管理各项财政收支。编制年度市级预决算草案并组织执行。组织制定经费开支标准、定额，审核批复部门（单位）年度预决算。受市政府委托，向市人大及其常委会报告全市和市级财政预算、执行和决算情况。负责政府投资基金市级财政出资的资产管理。负责市级预决算公开。负责全面实施预算绩效管理。</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w:t>
      </w:r>
      <w:r>
        <w:rPr>
          <w:rFonts w:hint="default" w:ascii="仿宋_GB2312" w:hAnsi="仿宋_GB2312" w:eastAsia="仿宋_GB2312" w:cs="仿宋_GB2312"/>
          <w:color w:val="auto"/>
          <w:kern w:val="2"/>
          <w:sz w:val="32"/>
          <w:szCs w:val="32"/>
          <w:lang w:val="en-US" w:eastAsia="zh-CN" w:bidi="ar-SA"/>
        </w:rPr>
        <w:t>按分工负责政府非税收入管理。负责政府性基金管理，按规定管理行政事业性收费等其他非税收入。管理财政票据。制定彩票管理政策和有关办法，监管彩票市场，按规定管理彩票资金。履行住房公积金的行政监督职能。</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w:t>
      </w:r>
      <w:r>
        <w:rPr>
          <w:rFonts w:hint="default" w:ascii="仿宋_GB2312" w:hAnsi="仿宋_GB2312" w:eastAsia="仿宋_GB2312" w:cs="仿宋_GB2312"/>
          <w:color w:val="auto"/>
          <w:kern w:val="2"/>
          <w:sz w:val="32"/>
          <w:szCs w:val="32"/>
          <w:lang w:val="en-US" w:eastAsia="zh-CN" w:bidi="ar-SA"/>
        </w:rPr>
        <w:t>组织制定全市国库管理制度、国库集中收付制度，指导和监督国库业务，开展国库现金管理工作。贯彻执行政府财务报告编制办法并组织实施。负责制定政府采购制度并监督管理。</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w:t>
      </w:r>
      <w:r>
        <w:rPr>
          <w:rFonts w:hint="default" w:ascii="仿宋_GB2312" w:hAnsi="仿宋_GB2312" w:eastAsia="仿宋_GB2312" w:cs="仿宋_GB2312"/>
          <w:color w:val="auto"/>
          <w:kern w:val="2"/>
          <w:sz w:val="32"/>
          <w:szCs w:val="32"/>
          <w:lang w:val="en-US" w:eastAsia="zh-CN" w:bidi="ar-SA"/>
        </w:rPr>
        <w:t>贯彻执行地方政府债务管理制度和政策，制定具体管理办法，编制地方政府债余额限额计划，统一管理政府外债，防范财政风险。</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7.</w:t>
      </w:r>
      <w:r>
        <w:rPr>
          <w:rFonts w:hint="default" w:ascii="仿宋_GB2312" w:hAnsi="仿宋_GB2312" w:eastAsia="仿宋_GB2312" w:cs="仿宋_GB2312"/>
          <w:color w:val="auto"/>
          <w:kern w:val="2"/>
          <w:sz w:val="32"/>
          <w:szCs w:val="32"/>
          <w:lang w:val="en-US" w:eastAsia="zh-CN" w:bidi="ar-SA"/>
        </w:rPr>
        <w:t>牵头编制全市国有资产管理情况报告。根据市政府授权，集中统一履行市级国有金融资本出资人职责。制定市级国有金融资本管理制度。拟订全市行政事业单位国有资产管理制度规定并组织实施。制定需要全市统一规定的开支标准和支出政策。</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8.</w:t>
      </w:r>
      <w:r>
        <w:rPr>
          <w:rFonts w:hint="default" w:ascii="仿宋_GB2312" w:hAnsi="仿宋_GB2312" w:eastAsia="仿宋_GB2312" w:cs="仿宋_GB2312"/>
          <w:color w:val="auto"/>
          <w:kern w:val="2"/>
          <w:sz w:val="32"/>
          <w:szCs w:val="32"/>
          <w:lang w:val="en-US" w:eastAsia="zh-CN" w:bidi="ar-SA"/>
        </w:rPr>
        <w:t>负责审核并汇总编制全市国有资本经营预决算草案。制订国有资本经营预算制度和办法，收取市本级企业国有资本收益。组织实施企业财务制度，负责财政预算内行政事业单位和社会团体的非贸易外汇和财政预算内的国际收支管理。</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9.</w:t>
      </w:r>
      <w:r>
        <w:rPr>
          <w:rFonts w:hint="default" w:ascii="仿宋_GB2312" w:hAnsi="仿宋_GB2312" w:eastAsia="仿宋_GB2312" w:cs="仿宋_GB2312"/>
          <w:color w:val="auto"/>
          <w:kern w:val="2"/>
          <w:sz w:val="32"/>
          <w:szCs w:val="32"/>
          <w:lang w:val="en-US" w:eastAsia="zh-CN" w:bidi="ar-SA"/>
        </w:rPr>
        <w:t>负责审核并汇总编制全市社会保险基金预决算草案，会同有关部门拟订有关资金（基金）的财务管理制度，承担社会保险基金财政监管工作。</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10.</w:t>
      </w:r>
      <w:r>
        <w:rPr>
          <w:rFonts w:hint="default" w:ascii="仿宋_GB2312" w:hAnsi="仿宋_GB2312" w:eastAsia="仿宋_GB2312" w:cs="仿宋_GB2312"/>
          <w:color w:val="auto"/>
          <w:kern w:val="2"/>
          <w:sz w:val="32"/>
          <w:szCs w:val="32"/>
          <w:lang w:val="en-US" w:eastAsia="zh-CN" w:bidi="ar-SA"/>
        </w:rPr>
        <w:t>负责办理和监督市级财政的经济发展支出、市级政府性投资项目的财政拨款，负责投资评审管理工作，参与拟订市级基建投资有关政策，制定基建财务管理制度。</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11.</w:t>
      </w:r>
      <w:r>
        <w:rPr>
          <w:rFonts w:hint="default" w:ascii="仿宋_GB2312" w:hAnsi="仿宋_GB2312" w:eastAsia="仿宋_GB2312" w:cs="仿宋_GB2312"/>
          <w:color w:val="auto"/>
          <w:kern w:val="2"/>
          <w:sz w:val="32"/>
          <w:szCs w:val="32"/>
          <w:lang w:val="en-US" w:eastAsia="zh-CN" w:bidi="ar-SA"/>
        </w:rPr>
        <w:t>管理外国政府和国际金融机构贷（赠）款项目的有关业务，参与财经领域的国际交流合作。</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12.</w:t>
      </w:r>
      <w:r>
        <w:rPr>
          <w:rFonts w:hint="default" w:ascii="仿宋_GB2312" w:hAnsi="仿宋_GB2312" w:eastAsia="仿宋_GB2312" w:cs="仿宋_GB2312"/>
          <w:color w:val="auto"/>
          <w:kern w:val="2"/>
          <w:sz w:val="32"/>
          <w:szCs w:val="32"/>
          <w:lang w:val="en-US" w:eastAsia="zh-CN" w:bidi="ar-SA"/>
        </w:rPr>
        <w:t>负责管理全市会计工作，监督和规范会计行为，组织实施国家统一的会计制度。</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13.</w:t>
      </w:r>
      <w:r>
        <w:rPr>
          <w:rFonts w:hint="default" w:ascii="仿宋_GB2312" w:hAnsi="仿宋_GB2312" w:eastAsia="仿宋_GB2312" w:cs="仿宋_GB2312"/>
          <w:color w:val="auto"/>
          <w:kern w:val="2"/>
          <w:sz w:val="32"/>
          <w:szCs w:val="32"/>
          <w:lang w:val="en-US" w:eastAsia="zh-CN" w:bidi="ar-SA"/>
        </w:rPr>
        <w:t>负责职责范围内的安全生产和职业健康、生态环境保护、审批服务便民化等工作。</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14.</w:t>
      </w:r>
      <w:r>
        <w:rPr>
          <w:rFonts w:hint="default" w:ascii="仿宋_GB2312" w:hAnsi="仿宋_GB2312" w:eastAsia="仿宋_GB2312" w:cs="仿宋_GB2312"/>
          <w:color w:val="auto"/>
          <w:kern w:val="2"/>
          <w:sz w:val="32"/>
          <w:szCs w:val="32"/>
          <w:lang w:val="en-US" w:eastAsia="zh-CN" w:bidi="ar-SA"/>
        </w:rPr>
        <w:t>完成市委、市政府交办的其他任务。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（二）</w:t>
      </w:r>
      <w:r>
        <w:rPr>
          <w:rFonts w:hint="eastAsia" w:ascii="楷体_GB2312" w:hAnsi="楷体_GB2312" w:eastAsia="楷体_GB2312" w:cs="楷体_GB2312"/>
          <w:color w:val="auto"/>
          <w:sz w:val="32"/>
          <w:szCs w:val="32"/>
          <w:lang w:val="en-US" w:eastAsia="zh-CN"/>
        </w:rPr>
        <w:t>广元市财政局</w:t>
      </w:r>
      <w:r>
        <w:rPr>
          <w:rFonts w:hint="eastAsia" w:ascii="楷体_GB2312" w:hAnsi="楷体_GB2312" w:eastAsia="楷体_GB2312" w:cs="楷体_GB2312"/>
          <w:color w:val="auto"/>
          <w:sz w:val="32"/>
          <w:szCs w:val="32"/>
          <w:lang w:val="en-US"/>
        </w:rPr>
        <w:t>2024</w:t>
      </w:r>
      <w:r>
        <w:rPr>
          <w:rFonts w:hint="eastAsia" w:ascii="楷体_GB2312" w:hAnsi="楷体_GB2312" w:eastAsia="楷体_GB2312" w:cs="楷体_GB2312"/>
          <w:color w:val="auto"/>
          <w:sz w:val="32"/>
          <w:szCs w:val="32"/>
        </w:rPr>
        <w:t>年重点工作</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1.切实</w:t>
      </w:r>
      <w:r>
        <w:rPr>
          <w:rFonts w:hint="default" w:ascii="仿宋_GB2312" w:hAnsi="仿宋_GB2312" w:eastAsia="仿宋_GB2312" w:cs="仿宋_GB2312"/>
          <w:color w:val="auto"/>
          <w:kern w:val="2"/>
          <w:sz w:val="32"/>
          <w:szCs w:val="32"/>
          <w:lang w:val="en-US" w:eastAsia="zh-CN" w:bidi="ar-SA"/>
        </w:rPr>
        <w:t>加强党</w:t>
      </w:r>
      <w:r>
        <w:rPr>
          <w:rFonts w:hint="eastAsia" w:ascii="仿宋_GB2312" w:hAnsi="仿宋_GB2312" w:eastAsia="仿宋_GB2312" w:cs="仿宋_GB2312"/>
          <w:color w:val="auto"/>
          <w:kern w:val="2"/>
          <w:sz w:val="32"/>
          <w:szCs w:val="32"/>
          <w:lang w:val="en-US" w:eastAsia="zh-CN" w:bidi="ar-SA"/>
        </w:rPr>
        <w:t>的全面领导</w:t>
      </w:r>
      <w:r>
        <w:rPr>
          <w:rFonts w:hint="default"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CN" w:bidi="ar-SA"/>
        </w:rPr>
        <w:t>全面贯彻落实党的二十大精神和</w:t>
      </w:r>
      <w:bookmarkStart w:id="0" w:name="_GoBack"/>
      <w:bookmarkEnd w:id="0"/>
      <w:r>
        <w:rPr>
          <w:rFonts w:hint="eastAsia" w:ascii="仿宋_GB2312" w:hAnsi="仿宋_GB2312" w:eastAsia="仿宋_GB2312" w:cs="仿宋_GB2312"/>
          <w:color w:val="auto"/>
          <w:kern w:val="2"/>
          <w:sz w:val="32"/>
          <w:szCs w:val="32"/>
          <w:lang w:val="en-US" w:eastAsia="zh-CN" w:bidi="ar-SA"/>
        </w:rPr>
        <w:t>习近平总书记来川来广视察重要指示精神，认真落实中央经济工作会议、省委十二届四次全会、市委八届七次全会决策部署，确保各项政策落地落实。持续开展学习贯彻习近平新时代中国特色社会主义思想主题教育，</w:t>
      </w:r>
      <w:r>
        <w:rPr>
          <w:rFonts w:hint="default" w:ascii="仿宋_GB2312" w:hAnsi="仿宋_GB2312" w:eastAsia="仿宋_GB2312" w:cs="仿宋_GB2312"/>
          <w:color w:val="auto"/>
          <w:kern w:val="2"/>
          <w:sz w:val="32"/>
          <w:szCs w:val="32"/>
          <w:lang w:val="en-US" w:eastAsia="zh-CN" w:bidi="ar-SA"/>
        </w:rPr>
        <w:t>坚决拥护“两个确立”，做到“两个维护”。</w:t>
      </w:r>
      <w:r>
        <w:rPr>
          <w:rFonts w:hint="eastAsia" w:ascii="仿宋_GB2312" w:hAnsi="仿宋_GB2312" w:eastAsia="仿宋_GB2312" w:cs="仿宋_GB2312"/>
          <w:color w:val="auto"/>
          <w:kern w:val="2"/>
          <w:sz w:val="32"/>
          <w:szCs w:val="32"/>
          <w:lang w:val="en-US" w:eastAsia="zh-CN" w:bidi="ar-SA"/>
        </w:rPr>
        <w:t>坚定</w:t>
      </w:r>
      <w:r>
        <w:rPr>
          <w:rFonts w:hint="default" w:ascii="仿宋_GB2312" w:hAnsi="仿宋_GB2312" w:eastAsia="仿宋_GB2312" w:cs="仿宋_GB2312"/>
          <w:color w:val="auto"/>
          <w:kern w:val="2"/>
          <w:sz w:val="32"/>
          <w:szCs w:val="32"/>
          <w:lang w:val="en-US" w:eastAsia="zh-CN" w:bidi="ar-SA"/>
        </w:rPr>
        <w:t>落实全面从严治党政治责任，持续巩固作风纪律整顿成果，一体推进不敢腐、不能腐、不想腐。</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2.努力确保财政平稳运行</w:t>
      </w:r>
      <w:r>
        <w:rPr>
          <w:rFonts w:hint="default"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CN" w:bidi="ar-SA"/>
        </w:rPr>
        <w:t>围绕积极的财政政策要适度加力、提质增效要求，多措并举组织财政收入，力争2024年地方一般公共预算收入增长8%、突破70亿元大关。支持房地产市场加快转型调整，有序推动土地出让，力争市本级经营性土地出让收入完成30亿元。积极向上对接汇报，争取更多政策、项目、资金支持广元发展。树牢“过紧日子”思想，强化预算刚性约束，严控“三公”经费、一般性支出、预算追加调剂。扛牢财政领域风险</w:t>
      </w:r>
      <w:r>
        <w:rPr>
          <w:rFonts w:hint="default" w:ascii="仿宋_GB2312" w:hAnsi="仿宋_GB2312" w:eastAsia="仿宋_GB2312" w:cs="仿宋_GB2312"/>
          <w:color w:val="auto"/>
          <w:kern w:val="2"/>
          <w:sz w:val="32"/>
          <w:szCs w:val="32"/>
          <w:lang w:val="en-US" w:eastAsia="zh-CN" w:bidi="ar-SA"/>
        </w:rPr>
        <w:t>防范化解</w:t>
      </w:r>
      <w:r>
        <w:rPr>
          <w:rFonts w:hint="eastAsia" w:ascii="仿宋_GB2312" w:hAnsi="仿宋_GB2312" w:eastAsia="仿宋_GB2312" w:cs="仿宋_GB2312"/>
          <w:color w:val="auto"/>
          <w:kern w:val="2"/>
          <w:sz w:val="32"/>
          <w:szCs w:val="32"/>
          <w:lang w:val="en-US" w:eastAsia="zh-CN" w:bidi="ar-SA"/>
        </w:rPr>
        <w:t>责任</w:t>
      </w:r>
      <w:r>
        <w:rPr>
          <w:rFonts w:hint="default"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CN" w:bidi="ar-SA"/>
        </w:rPr>
        <w:t>坚决</w:t>
      </w:r>
      <w:r>
        <w:rPr>
          <w:rFonts w:hint="default" w:ascii="仿宋_GB2312" w:hAnsi="仿宋_GB2312" w:eastAsia="仿宋_GB2312" w:cs="仿宋_GB2312"/>
          <w:color w:val="auto"/>
          <w:kern w:val="2"/>
          <w:sz w:val="32"/>
          <w:szCs w:val="32"/>
          <w:lang w:val="en-US" w:eastAsia="zh-CN" w:bidi="ar-SA"/>
        </w:rPr>
        <w:t>守住不发生系统性</w:t>
      </w:r>
      <w:r>
        <w:rPr>
          <w:rFonts w:hint="eastAsia" w:ascii="仿宋_GB2312" w:hAnsi="仿宋_GB2312" w:eastAsia="仿宋_GB2312" w:cs="仿宋_GB2312"/>
          <w:color w:val="auto"/>
          <w:kern w:val="2"/>
          <w:sz w:val="32"/>
          <w:szCs w:val="32"/>
          <w:lang w:val="en-US" w:eastAsia="zh-CN" w:bidi="ar-SA"/>
        </w:rPr>
        <w:t>区域性</w:t>
      </w:r>
      <w:r>
        <w:rPr>
          <w:rFonts w:hint="default" w:ascii="仿宋_GB2312" w:hAnsi="仿宋_GB2312" w:eastAsia="仿宋_GB2312" w:cs="仿宋_GB2312"/>
          <w:color w:val="auto"/>
          <w:kern w:val="2"/>
          <w:sz w:val="32"/>
          <w:szCs w:val="32"/>
          <w:lang w:val="en-US" w:eastAsia="zh-CN" w:bidi="ar-SA"/>
        </w:rPr>
        <w:t>风险的底线。</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3.服务支撑经济高质量发展</w:t>
      </w:r>
      <w:r>
        <w:rPr>
          <w:rFonts w:hint="default"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CN" w:bidi="ar-SA"/>
        </w:rPr>
        <w:t>聚焦“1+3+3”工业优势主导产业体系，整合统筹工业产业专项资金、专项债券资金、产业发展资金，大力支持发展铝基新材料、硅基新材料等产业。进一步加强产业专班要素保障，推动一批重大项目落地开工、建成投产，发展壮大实体经济。持续优化落实减税降费、留抵退税等财税支持政策，为市场主体创造良好营商环境。完善乡村振兴财政投入保障体系，用好乡村振兴基金，助推脱贫地区特色产业高质量发展引领示范区建设。</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4.持续增进基本民生福祉</w:t>
      </w:r>
      <w:r>
        <w:rPr>
          <w:rFonts w:hint="default"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CN" w:bidi="ar-SA"/>
        </w:rPr>
        <w:t>加大民生领域资金投入，确保民生支出占比稳定在65%以上。坚持“两个只增不减”原则，持续加大教育投入，支持打造四川知名教育高地。坚持就业优先战略，加大重点群体就业帮扶，及时兑现就业创业奖补资金。支持构建完善更高水平更高标准更可持续的社会保障体系。强化医疗卫生健康领域改革，助推“健康广元”工程实施。管好用好中省财政资金直达机制，发挥惠企利民政策作用。</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5.着力提升财政治理效能</w:t>
      </w:r>
      <w:r>
        <w:rPr>
          <w:rFonts w:hint="default"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CN" w:bidi="ar-SA"/>
        </w:rPr>
        <w:t>持续深化市与县区财政体制改革，进一步科学合理界定事权，理顺市和县区政府间财政分配关系。加快推进支出标准体系建设，逐步健全预算支出标准动态调整机制，促进支出标准与预算管理的有机融合。深化</w:t>
      </w:r>
      <w:r>
        <w:rPr>
          <w:rFonts w:hint="default" w:ascii="仿宋_GB2312" w:hAnsi="仿宋_GB2312" w:eastAsia="仿宋_GB2312" w:cs="仿宋_GB2312"/>
          <w:color w:val="auto"/>
          <w:kern w:val="2"/>
          <w:sz w:val="32"/>
          <w:szCs w:val="32"/>
          <w:lang w:val="en-US" w:eastAsia="zh-CN" w:bidi="ar-SA"/>
        </w:rPr>
        <w:t>预算绩效管理</w:t>
      </w:r>
      <w:r>
        <w:rPr>
          <w:rFonts w:hint="eastAsia" w:ascii="仿宋_GB2312" w:hAnsi="仿宋_GB2312" w:eastAsia="仿宋_GB2312" w:cs="仿宋_GB2312"/>
          <w:color w:val="auto"/>
          <w:kern w:val="2"/>
          <w:sz w:val="32"/>
          <w:szCs w:val="32"/>
          <w:lang w:val="en-US" w:eastAsia="zh-CN" w:bidi="ar-SA"/>
        </w:rPr>
        <w:t>改革</w:t>
      </w:r>
      <w:r>
        <w:rPr>
          <w:rFonts w:hint="default"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CN" w:bidi="ar-SA"/>
        </w:rPr>
        <w:t>将绩效结果作为预算安排、资金分配、项目是否继续实施和预算规模的依据。</w:t>
      </w:r>
      <w:r>
        <w:rPr>
          <w:rFonts w:hint="default" w:ascii="仿宋_GB2312" w:hAnsi="仿宋_GB2312" w:eastAsia="仿宋_GB2312" w:cs="仿宋_GB2312"/>
          <w:color w:val="auto"/>
          <w:kern w:val="2"/>
          <w:sz w:val="32"/>
          <w:szCs w:val="32"/>
          <w:lang w:val="en-US" w:eastAsia="zh-CN" w:bidi="ar-SA"/>
        </w:rPr>
        <w:t>健全完善政府采购一体化平台运行机制，</w:t>
      </w:r>
      <w:r>
        <w:rPr>
          <w:rFonts w:hint="eastAsia" w:ascii="仿宋_GB2312" w:hAnsi="仿宋_GB2312" w:eastAsia="仿宋_GB2312" w:cs="仿宋_GB2312"/>
          <w:color w:val="auto"/>
          <w:kern w:val="2"/>
          <w:sz w:val="32"/>
          <w:szCs w:val="32"/>
          <w:lang w:val="en-US" w:eastAsia="zh-CN" w:bidi="ar-SA"/>
        </w:rPr>
        <w:t>持续</w:t>
      </w:r>
      <w:r>
        <w:rPr>
          <w:rFonts w:hint="default" w:ascii="仿宋_GB2312" w:hAnsi="仿宋_GB2312" w:eastAsia="仿宋_GB2312" w:cs="仿宋_GB2312"/>
          <w:color w:val="auto"/>
          <w:kern w:val="2"/>
          <w:sz w:val="32"/>
          <w:szCs w:val="32"/>
          <w:lang w:val="en-US" w:eastAsia="zh-CN" w:bidi="ar-SA"/>
        </w:rPr>
        <w:t>优化政府采购营商环境。</w:t>
      </w:r>
      <w:r>
        <w:rPr>
          <w:rFonts w:hint="eastAsia" w:ascii="仿宋_GB2312" w:hAnsi="仿宋_GB2312" w:eastAsia="仿宋_GB2312" w:cs="仿宋_GB2312"/>
          <w:color w:val="auto"/>
          <w:kern w:val="2"/>
          <w:sz w:val="32"/>
          <w:szCs w:val="32"/>
          <w:lang w:val="en-US" w:eastAsia="zh-CN" w:bidi="ar-SA"/>
        </w:rPr>
        <w:t>加快推动BIM技术在财政评审中的应用，进一步提升政府投资项目财政评审效能。</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广元市财政局下属二级预算单位3个，其中行政单位1个，其他事业单位2个。主要包括：广元市财政局（机关）、</w:t>
      </w:r>
      <w:r>
        <w:rPr>
          <w:rFonts w:hint="eastAsia" w:ascii="仿宋_GB2312" w:hAnsi="仿宋_GB2312" w:eastAsia="仿宋_GB2312" w:cs="仿宋_GB2312"/>
          <w:sz w:val="32"/>
          <w:szCs w:val="32"/>
        </w:rPr>
        <w:t>广元市财政评审中心、广元市财政绩效管理中心。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广元市财政局所有收入和支出均纳入部门预算管理。收入包括：一般公共预算拨款收入；支出包括：一般公共服务支出、社会保障和就业支出、卫生健康支出、住房保障支出。广元市财政局2024年收支预算总数3354.57万元,比2023年收支预算总数增加25.85万元，主要原因为：一是市财政评审中心为保障财政评审工作开展增加项目支出预算；二是市财政绩效管理中心2024年人员增加引起的</w:t>
      </w:r>
      <w:r>
        <w:rPr>
          <w:rFonts w:hint="eastAsia" w:ascii="仿宋_GB2312" w:hAnsi="仿宋_GB2312" w:eastAsia="仿宋_GB2312" w:cs="仿宋_GB2312"/>
          <w:sz w:val="32"/>
          <w:szCs w:val="32"/>
        </w:rPr>
        <w:t>工资福利、</w:t>
      </w:r>
      <w:r>
        <w:rPr>
          <w:rFonts w:hint="eastAsia" w:ascii="仿宋_GB2312" w:hAnsi="仿宋_GB2312" w:eastAsia="仿宋_GB2312" w:cs="仿宋_GB2312"/>
          <w:sz w:val="32"/>
          <w:szCs w:val="32"/>
          <w:lang w:val="en-US" w:eastAsia="zh-CN"/>
        </w:rPr>
        <w:t>公用经费</w:t>
      </w:r>
      <w:r>
        <w:rPr>
          <w:rFonts w:hint="eastAsia" w:ascii="仿宋_GB2312" w:hAnsi="仿宋_GB2312" w:eastAsia="仿宋_GB2312" w:cs="仿宋_GB2312"/>
          <w:sz w:val="32"/>
          <w:szCs w:val="32"/>
        </w:rPr>
        <w:t>等基本支出预算增加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广元市财政局2024年收入预算3354.57万元，其中：一般公共预算拨款收入3354.57万元，占100%。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广元市财政局2024年支出预算3354.57万元，其中：基本支出1904.29万元，占56.77%；项目支出1450.28万元，占43.23%</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财政局2024年财政拨款收支预算总数3354.57万元,比2023年财政拨款收支预算总数增加25.85万元，主要原因为：一是市财政评审中心为保障财政评审工作开展增加项目支出预算；二是市财政绩效管理中心2024年人员增加引起的</w:t>
      </w:r>
      <w:r>
        <w:rPr>
          <w:rFonts w:hint="eastAsia" w:ascii="仿宋_GB2312" w:hAnsi="仿宋_GB2312" w:eastAsia="仿宋_GB2312" w:cs="仿宋_GB2312"/>
          <w:sz w:val="32"/>
          <w:szCs w:val="32"/>
        </w:rPr>
        <w:t>工资福利、</w:t>
      </w:r>
      <w:r>
        <w:rPr>
          <w:rFonts w:hint="eastAsia" w:ascii="仿宋_GB2312" w:hAnsi="仿宋_GB2312" w:eastAsia="仿宋_GB2312" w:cs="仿宋_GB2312"/>
          <w:sz w:val="32"/>
          <w:szCs w:val="32"/>
          <w:lang w:val="en-US" w:eastAsia="zh-CN"/>
        </w:rPr>
        <w:t>公用经费</w:t>
      </w:r>
      <w:r>
        <w:rPr>
          <w:rFonts w:hint="eastAsia" w:ascii="仿宋_GB2312" w:hAnsi="仿宋_GB2312" w:eastAsia="仿宋_GB2312" w:cs="仿宋_GB2312"/>
          <w:sz w:val="32"/>
          <w:szCs w:val="32"/>
        </w:rPr>
        <w:t>等基本支出预算增加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收入包括：本年一般公共预算拨款收入3354.57万元；支出包括：一般公共服务支出2991.41万元、社会保障和就业支出167.37万元、卫生健康支出53.76万元、住房保障支出142.04万元。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sz w:val="32"/>
          <w:szCs w:val="32"/>
          <w:lang w:val="en-US" w:eastAsia="zh-CN"/>
        </w:rPr>
        <w:t>广元市财政局2024年一般公共预算当年拨款3354.57万元，比2023年预算数增加25.85万元，主要原因为：一是市财政评审中心为保障财政评审工作开展增加项目支出预算；二是市财政绩效管理中心2024年人员增加引起的</w:t>
      </w:r>
      <w:r>
        <w:rPr>
          <w:rFonts w:hint="eastAsia" w:ascii="仿宋_GB2312" w:hAnsi="仿宋_GB2312" w:eastAsia="仿宋_GB2312" w:cs="仿宋_GB2312"/>
          <w:sz w:val="32"/>
          <w:szCs w:val="32"/>
        </w:rPr>
        <w:t>工资福利、</w:t>
      </w:r>
      <w:r>
        <w:rPr>
          <w:rFonts w:hint="eastAsia" w:ascii="仿宋_GB2312" w:hAnsi="仿宋_GB2312" w:eastAsia="仿宋_GB2312" w:cs="仿宋_GB2312"/>
          <w:sz w:val="32"/>
          <w:szCs w:val="32"/>
          <w:lang w:val="en-US" w:eastAsia="zh-CN"/>
        </w:rPr>
        <w:t>公用经费</w:t>
      </w:r>
      <w:r>
        <w:rPr>
          <w:rFonts w:hint="eastAsia" w:ascii="仿宋_GB2312" w:hAnsi="仿宋_GB2312" w:eastAsia="仿宋_GB2312" w:cs="仿宋_GB2312"/>
          <w:sz w:val="32"/>
          <w:szCs w:val="32"/>
        </w:rPr>
        <w:t>等基本支出预算增加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一般公共服务支出2991.41万元，占89.17%；社会保障和就业支出167.37万元，占5%；卫生健康支出53.76万元，占1.6%；住房保障支出142.04万元，占4.23%。</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一般公共服务（类）财政事务（款）行政运行（项）2024年预算数为1145.83万元，主要用于：局机关工资奖金津（补）贴、其他工资福利支出、</w:t>
      </w:r>
      <w:r>
        <w:rPr>
          <w:rFonts w:hint="eastAsia" w:ascii="仿宋_GB2312" w:hAnsi="仿宋_GB2312" w:eastAsia="仿宋_GB2312" w:cs="仿宋_GB2312"/>
          <w:sz w:val="32"/>
          <w:szCs w:val="32"/>
        </w:rPr>
        <w:t>办公经费、会议费、培训费、委托业务费、公务接待费、公务用车运行维护费、</w:t>
      </w:r>
      <w:r>
        <w:rPr>
          <w:rFonts w:hint="eastAsia" w:ascii="仿宋_GB2312" w:hAnsi="仿宋_GB2312" w:eastAsia="仿宋_GB2312" w:cs="仿宋_GB2312"/>
          <w:sz w:val="32"/>
          <w:szCs w:val="32"/>
          <w:lang w:val="en-US" w:eastAsia="zh-CN"/>
        </w:rPr>
        <w:t>其他交通费用、</w:t>
      </w:r>
      <w:r>
        <w:rPr>
          <w:rFonts w:hint="eastAsia" w:ascii="仿宋_GB2312" w:hAnsi="仿宋_GB2312" w:eastAsia="仿宋_GB2312" w:cs="仿宋_GB2312"/>
          <w:sz w:val="32"/>
          <w:szCs w:val="32"/>
        </w:rPr>
        <w:t>维修（护）费、差旅费、其他商品和服务支出、对个人和家庭</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补助。</w:t>
      </w:r>
    </w:p>
    <w:p>
      <w:pPr>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一般公共服务（类）</w:t>
      </w:r>
      <w:r>
        <w:rPr>
          <w:rFonts w:hint="eastAsia" w:ascii="仿宋_GB2312" w:hAnsi="仿宋_GB2312" w:eastAsia="仿宋_GB2312" w:cs="仿宋_GB2312"/>
          <w:sz w:val="32"/>
          <w:szCs w:val="32"/>
        </w:rPr>
        <w:t>财政事务（款）一般行政管理事务（项）</w:t>
      </w:r>
      <w:r>
        <w:rPr>
          <w:rFonts w:hint="eastAsia" w:ascii="仿宋_GB2312" w:hAnsi="仿宋_GB2312" w:eastAsia="仿宋_GB2312" w:cs="仿宋_GB2312"/>
          <w:sz w:val="32"/>
          <w:szCs w:val="32"/>
          <w:lang w:val="en-US" w:eastAsia="zh-CN"/>
        </w:rPr>
        <w:t>2024年预算数为508.89万元，主要用于：</w:t>
      </w:r>
      <w:r>
        <w:rPr>
          <w:rFonts w:hint="eastAsia" w:ascii="仿宋_GB2312" w:hAnsi="仿宋_GB2312" w:eastAsia="仿宋_GB2312" w:cs="仿宋_GB2312"/>
          <w:sz w:val="32"/>
          <w:szCs w:val="32"/>
        </w:rPr>
        <w:t>财政</w:t>
      </w:r>
      <w:r>
        <w:rPr>
          <w:rFonts w:hint="eastAsia" w:ascii="仿宋_GB2312" w:hAnsi="仿宋_GB2312" w:eastAsia="仿宋_GB2312" w:cs="仿宋_GB2312"/>
          <w:sz w:val="32"/>
          <w:szCs w:val="32"/>
          <w:lang w:val="en-US" w:eastAsia="zh-CN"/>
        </w:rPr>
        <w:t>综合事务管理工作</w:t>
      </w:r>
      <w:r>
        <w:rPr>
          <w:rFonts w:hint="eastAsia" w:ascii="仿宋_GB2312" w:hAnsi="仿宋_GB2312" w:eastAsia="仿宋_GB2312" w:cs="仿宋_GB2312"/>
          <w:sz w:val="32"/>
          <w:szCs w:val="32"/>
        </w:rPr>
        <w:t>、乡村振兴工作经费、派驻纪检监察组专项经费等</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个项目支出。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en-US" w:eastAsia="zh-CN"/>
        </w:rPr>
        <w:t>一般公共服务（类）</w:t>
      </w:r>
      <w:r>
        <w:rPr>
          <w:rFonts w:hint="eastAsia" w:ascii="仿宋_GB2312" w:hAnsi="仿宋_GB2312" w:eastAsia="仿宋_GB2312" w:cs="仿宋_GB2312"/>
          <w:sz w:val="32"/>
          <w:szCs w:val="32"/>
        </w:rPr>
        <w:t>财政事务（款）机关服务（项）</w:t>
      </w:r>
      <w:r>
        <w:rPr>
          <w:rFonts w:hint="eastAsia" w:ascii="仿宋_GB2312" w:hAnsi="仿宋_GB2312" w:eastAsia="仿宋_GB2312" w:cs="仿宋_GB2312"/>
          <w:sz w:val="32"/>
          <w:szCs w:val="32"/>
          <w:lang w:val="en-US" w:eastAsia="zh-CN"/>
        </w:rPr>
        <w:t>2024年预算数为120万元，主要用于：</w:t>
      </w:r>
      <w:r>
        <w:rPr>
          <w:rFonts w:hint="eastAsia" w:ascii="仿宋_GB2312" w:hAnsi="仿宋_GB2312" w:eastAsia="仿宋_GB2312" w:cs="仿宋_GB2312"/>
          <w:sz w:val="32"/>
          <w:szCs w:val="32"/>
        </w:rPr>
        <w:t>财政购买服务项目支出。</w:t>
      </w:r>
    </w:p>
    <w:p>
      <w:pPr>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一般公共服务（类）</w:t>
      </w:r>
      <w:r>
        <w:rPr>
          <w:rFonts w:hint="eastAsia" w:ascii="仿宋_GB2312" w:hAnsi="仿宋_GB2312" w:eastAsia="仿宋_GB2312" w:cs="仿宋_GB2312"/>
          <w:sz w:val="32"/>
          <w:szCs w:val="32"/>
        </w:rPr>
        <w:t>财政事务（款）事业运行（项）</w:t>
      </w:r>
      <w:r>
        <w:rPr>
          <w:rFonts w:hint="eastAsia" w:ascii="仿宋_GB2312" w:hAnsi="仿宋_GB2312" w:eastAsia="仿宋_GB2312" w:cs="仿宋_GB2312"/>
          <w:sz w:val="32"/>
          <w:szCs w:val="32"/>
          <w:lang w:val="en-US" w:eastAsia="zh-CN"/>
        </w:rPr>
        <w:t>2024年预算数为395.3万元，主要用于：</w:t>
      </w:r>
      <w:r>
        <w:rPr>
          <w:rFonts w:hint="eastAsia" w:ascii="仿宋_GB2312" w:hAnsi="仿宋_GB2312" w:eastAsia="仿宋_GB2312" w:cs="仿宋_GB2312"/>
          <w:sz w:val="32"/>
          <w:szCs w:val="32"/>
          <w:lang w:eastAsia="zh-CN"/>
        </w:rPr>
        <w:t>下属事业单位</w:t>
      </w:r>
      <w:r>
        <w:rPr>
          <w:rFonts w:hint="eastAsia" w:ascii="仿宋_GB2312" w:hAnsi="仿宋_GB2312" w:eastAsia="仿宋_GB2312" w:cs="仿宋_GB2312"/>
          <w:sz w:val="32"/>
          <w:szCs w:val="32"/>
        </w:rPr>
        <w:t>工资福利支出、商品</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服务支出。</w:t>
      </w:r>
    </w:p>
    <w:p>
      <w:pPr>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5.一般公共服务（类）</w:t>
      </w:r>
      <w:r>
        <w:rPr>
          <w:rFonts w:hint="eastAsia" w:ascii="仿宋_GB2312" w:hAnsi="仿宋_GB2312" w:eastAsia="仿宋_GB2312" w:cs="仿宋_GB2312"/>
          <w:sz w:val="32"/>
          <w:szCs w:val="32"/>
        </w:rPr>
        <w:t>财政事务（款）其他财政事务支出（项）</w:t>
      </w:r>
      <w:r>
        <w:rPr>
          <w:rFonts w:hint="eastAsia" w:ascii="仿宋_GB2312" w:hAnsi="仿宋_GB2312" w:eastAsia="仿宋_GB2312" w:cs="仿宋_GB2312"/>
          <w:sz w:val="32"/>
          <w:szCs w:val="32"/>
          <w:lang w:val="en-US" w:eastAsia="zh-CN"/>
        </w:rPr>
        <w:t>2024年预算数为821.39万元，主要用于：</w:t>
      </w:r>
      <w:r>
        <w:rPr>
          <w:rFonts w:hint="eastAsia" w:ascii="仿宋_GB2312" w:hAnsi="仿宋_GB2312" w:eastAsia="仿宋_GB2312" w:cs="仿宋_GB2312"/>
          <w:sz w:val="32"/>
          <w:szCs w:val="32"/>
        </w:rPr>
        <w:t>政府性投资项目评审协作费用、</w:t>
      </w:r>
      <w:r>
        <w:rPr>
          <w:rFonts w:hint="eastAsia" w:ascii="仿宋_GB2312" w:hAnsi="仿宋_GB2312" w:eastAsia="仿宋_GB2312" w:cs="仿宋_GB2312"/>
          <w:sz w:val="32"/>
          <w:szCs w:val="32"/>
          <w:lang w:eastAsia="zh-CN"/>
        </w:rPr>
        <w:t>评审</w:t>
      </w:r>
      <w:r>
        <w:rPr>
          <w:rFonts w:hint="eastAsia" w:ascii="仿宋_GB2312" w:hAnsi="仿宋_GB2312" w:eastAsia="仿宋_GB2312" w:cs="仿宋_GB2312"/>
          <w:sz w:val="32"/>
          <w:szCs w:val="32"/>
        </w:rPr>
        <w:t>聘用专家人员工资福利、第三方绩效评价工作经费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专项工作经费。</w:t>
      </w:r>
    </w:p>
    <w:p>
      <w:pPr>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6.社会保障和就业（类）行政事业单位养老支出（款）机关事业单位基本养老保险缴费支出（项）2024年预算数为167.37万元，主要用于：</w:t>
      </w:r>
      <w:r>
        <w:rPr>
          <w:rFonts w:hint="eastAsia" w:ascii="仿宋_GB2312" w:hAnsi="仿宋_GB2312" w:eastAsia="仿宋_GB2312" w:cs="仿宋_GB2312"/>
          <w:sz w:val="32"/>
          <w:szCs w:val="32"/>
        </w:rPr>
        <w:t>机关及事业单位</w:t>
      </w:r>
      <w:r>
        <w:rPr>
          <w:rFonts w:hint="eastAsia" w:ascii="仿宋_GB2312" w:hAnsi="仿宋_GB2312" w:eastAsia="仿宋_GB2312" w:cs="仿宋_GB2312"/>
          <w:sz w:val="32"/>
          <w:szCs w:val="32"/>
          <w:lang w:val="en-US" w:eastAsia="zh-CN"/>
        </w:rPr>
        <w:t>实施养老保险制度由单位缴纳的基本养老保险</w:t>
      </w:r>
      <w:r>
        <w:rPr>
          <w:rFonts w:hint="eastAsia" w:ascii="仿宋_GB2312" w:hAnsi="仿宋_GB2312" w:eastAsia="仿宋_GB2312" w:cs="仿宋_GB2312"/>
          <w:sz w:val="32"/>
          <w:szCs w:val="32"/>
        </w:rPr>
        <w:t>费支出。</w:t>
      </w:r>
    </w:p>
    <w:p>
      <w:pPr>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7.卫生健康（类）行政事业单位医疗（款）行政单位医疗（项）2024年预算数为44.54万元，主要用于：局机关按规定由单位缴纳的基本医疗保险支出。</w:t>
      </w:r>
    </w:p>
    <w:p>
      <w:pPr>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8.卫生健康（类）行政事业单位医疗（款）事业单位医疗（项）2024年预算数为9.22万元，主要用于：</w:t>
      </w:r>
      <w:r>
        <w:rPr>
          <w:rFonts w:hint="eastAsia" w:ascii="仿宋_GB2312" w:hAnsi="仿宋_GB2312" w:eastAsia="仿宋_GB2312" w:cs="仿宋_GB2312"/>
          <w:sz w:val="32"/>
          <w:szCs w:val="32"/>
        </w:rPr>
        <w:t>部门下属事业单位按规定由单位缴纳的基本医疗保险支出。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9.住房保障（类）住房改革支出（款）住房公积金（项）2024年预算数为142.04万元，主要用于：</w:t>
      </w:r>
      <w:r>
        <w:rPr>
          <w:rFonts w:hint="eastAsia" w:ascii="仿宋_GB2312" w:hAnsi="仿宋_GB2312" w:eastAsia="仿宋_GB2312" w:cs="仿宋_GB2312"/>
          <w:sz w:val="32"/>
          <w:szCs w:val="32"/>
        </w:rPr>
        <w:t>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广元市财政局2024年一般公共预算基本支出1904.29万元，其中：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人员经费1634.15万元，主要包括：</w:t>
      </w:r>
      <w:r>
        <w:rPr>
          <w:rFonts w:hint="eastAsia" w:ascii="仿宋_GB2312" w:hAnsi="仿宋_GB2312" w:eastAsia="仿宋_GB2312" w:cs="仿宋_GB2312"/>
          <w:sz w:val="32"/>
          <w:szCs w:val="32"/>
        </w:rPr>
        <w:t>基本工资、津贴补贴、奖金、</w:t>
      </w:r>
      <w:r>
        <w:rPr>
          <w:rFonts w:hint="eastAsia" w:ascii="仿宋_GB2312" w:hAnsi="仿宋_GB2312" w:eastAsia="仿宋_GB2312" w:cs="仿宋_GB2312"/>
          <w:sz w:val="32"/>
          <w:szCs w:val="32"/>
          <w:lang w:val="en-US" w:eastAsia="zh-CN"/>
        </w:rPr>
        <w:t>绩效工资</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基本养老保险缴费、基本医疗保险缴费、其他</w:t>
      </w:r>
      <w:r>
        <w:rPr>
          <w:rFonts w:hint="eastAsia" w:ascii="仿宋_GB2312" w:hAnsi="仿宋_GB2312" w:eastAsia="仿宋_GB2312" w:cs="仿宋_GB2312"/>
          <w:sz w:val="32"/>
          <w:szCs w:val="32"/>
        </w:rPr>
        <w:t>社会</w:t>
      </w:r>
      <w:r>
        <w:rPr>
          <w:rFonts w:hint="eastAsia" w:ascii="仿宋_GB2312" w:hAnsi="仿宋_GB2312" w:eastAsia="仿宋_GB2312" w:cs="仿宋_GB2312"/>
          <w:sz w:val="32"/>
          <w:szCs w:val="32"/>
          <w:lang w:val="en-US" w:eastAsia="zh-CN"/>
        </w:rPr>
        <w:t>保障</w:t>
      </w:r>
      <w:r>
        <w:rPr>
          <w:rFonts w:hint="eastAsia" w:ascii="仿宋_GB2312" w:hAnsi="仿宋_GB2312" w:eastAsia="仿宋_GB2312" w:cs="仿宋_GB2312"/>
          <w:sz w:val="32"/>
          <w:szCs w:val="32"/>
        </w:rPr>
        <w:t>缴费、住房公积金、对个人和家庭的补助等支出。</w:t>
      </w:r>
    </w:p>
    <w:p>
      <w:pPr>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270.14万元，主要包括：办公费、印刷费、咨询费、水费、电费、邮电费、物业管理费、差旅费、维修（护）费、会议费、公务接待费、劳务费、工会经费、福利费、公务用车运行维护费、其他交通费用、其他商品和服务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广元市财政局2024年“三公”经费财政拨款预算数23.16万元，其中：公务接待费3.28万元，公务用车购置及运行维护费19.88万元，因公出国（境）经费0万元。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sz w:val="32"/>
          <w:szCs w:val="32"/>
          <w:lang w:val="en-US" w:eastAsia="zh-CN"/>
        </w:rPr>
        <w:t>部门现有公务用车3辆，其中：旅行车（含商务车）1辆，越野车2辆。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2024年安排公务用车运行维护费19.88万元，用于3辆</w:t>
      </w:r>
      <w:r>
        <w:rPr>
          <w:rFonts w:hint="eastAsia" w:ascii="仿宋_GB2312" w:hAnsi="仿宋_GB2312" w:eastAsia="仿宋_GB2312" w:cs="仿宋_GB2312"/>
          <w:sz w:val="32"/>
          <w:szCs w:val="32"/>
        </w:rPr>
        <w:t>公务用车燃油、过路（桥）、维修、保险等方面支出，主要保障财政专项检查、调研及其他工作开展。</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因公出国（境）经费与2023年预算相比持平，</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年部门预算未编列因公出国（境）经费，未安排出国（境）任务和计划。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广元市财政局2024年无政府性基金预算拨款安排的支出。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广元市财政局2024年无国有资本经营预算拨款安排的支出。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2024年，广元市财政局下属局机关的机关运行经费财政拨款预算为235.34万元，比2023年预算减少17.91万元，下降7.07%。主要原因是</w:t>
      </w:r>
      <w:r>
        <w:rPr>
          <w:rFonts w:hint="eastAsia" w:ascii="仿宋_GB2312" w:hAnsi="仿宋_GB2312" w:eastAsia="仿宋_GB2312" w:cs="仿宋_GB2312"/>
          <w:sz w:val="32"/>
          <w:szCs w:val="32"/>
        </w:rPr>
        <w:t>人员</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rPr>
        <w:t>引起的运行经费</w:t>
      </w:r>
      <w:r>
        <w:rPr>
          <w:rFonts w:hint="eastAsia" w:ascii="仿宋_GB2312" w:hAnsi="仿宋_GB2312" w:eastAsia="仿宋_GB2312" w:cs="仿宋_GB2312"/>
          <w:sz w:val="32"/>
          <w:szCs w:val="32"/>
          <w:lang w:eastAsia="zh-CN"/>
        </w:rPr>
        <w:t>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2024年，广元市财政局安排政府采购预算638.2万元，其中：政府采购货物预算53.2万元、政府采购服务预算585万元。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截至2023年底，广元市财政局共有车辆3辆，其中，</w:t>
      </w:r>
      <w:r>
        <w:rPr>
          <w:rFonts w:hint="eastAsia" w:ascii="仿宋_GB2312" w:hAnsi="仿宋_GB2312" w:eastAsia="仿宋_GB2312" w:cs="仿宋_GB2312"/>
          <w:sz w:val="32"/>
          <w:szCs w:val="32"/>
        </w:rPr>
        <w:t>一般公务用车</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val="en-US" w:eastAsia="zh-CN"/>
        </w:rPr>
        <w:t>。单位价值200万元以上大型设备0台（套）。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2024年广元市财政局开展绩效目标管理的项目48个，涉及预算3354.57万元。其中：人员类项目17个，涉及预算 1634.15万元；运转类项目10个，涉及预算270.14万元；特定目标类项目21个，涉及预算1450.28万元。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eastAsia="zh-CN"/>
        </w:rPr>
        <w:t>（二）</w:t>
      </w:r>
      <w:r>
        <w:rPr>
          <w:rFonts w:hint="eastAsia" w:ascii="楷体_GB2312" w:hAnsi="楷体_GB2312" w:eastAsia="楷体_GB2312" w:cs="楷体_GB2312"/>
          <w:sz w:val="32"/>
          <w:szCs w:val="32"/>
        </w:rPr>
        <w:t>一般公共服务（类）财政事务（款）行政运行（项）：</w:t>
      </w:r>
      <w:r>
        <w:rPr>
          <w:rFonts w:hint="eastAsia" w:ascii="仿宋_GB2312" w:hAnsi="仿宋_GB2312" w:eastAsia="仿宋_GB2312" w:cs="仿宋_GB2312"/>
          <w:sz w:val="32"/>
          <w:szCs w:val="32"/>
        </w:rPr>
        <w:t>反映行政单位的基本支出。</w:t>
      </w:r>
    </w:p>
    <w:p>
      <w:pPr>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eastAsia="zh-CN"/>
        </w:rPr>
        <w:t>（三）</w:t>
      </w:r>
      <w:r>
        <w:rPr>
          <w:rFonts w:hint="eastAsia" w:ascii="楷体_GB2312" w:hAnsi="楷体_GB2312" w:eastAsia="楷体_GB2312" w:cs="楷体_GB2312"/>
          <w:sz w:val="32"/>
          <w:szCs w:val="32"/>
        </w:rPr>
        <w:t>一般公共服务（类）财政事务（款）一般行政管理事务（项）：</w:t>
      </w:r>
      <w:r>
        <w:rPr>
          <w:rFonts w:hint="eastAsia" w:ascii="仿宋_GB2312" w:hAnsi="仿宋_GB2312" w:eastAsia="仿宋_GB2312" w:cs="仿宋_GB2312"/>
          <w:sz w:val="32"/>
          <w:szCs w:val="32"/>
        </w:rPr>
        <w:t>反映行政单位未单独设置项级科目的其他项目支出。</w:t>
      </w:r>
    </w:p>
    <w:p>
      <w:pPr>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eastAsia="zh-CN"/>
        </w:rPr>
        <w:t>（四）</w:t>
      </w:r>
      <w:r>
        <w:rPr>
          <w:rFonts w:hint="eastAsia" w:ascii="楷体_GB2312" w:hAnsi="楷体_GB2312" w:eastAsia="楷体_GB2312" w:cs="楷体_GB2312"/>
          <w:sz w:val="32"/>
          <w:szCs w:val="32"/>
        </w:rPr>
        <w:t>一般公共服务（类）财政事务（款）</w:t>
      </w:r>
      <w:r>
        <w:rPr>
          <w:rFonts w:hint="eastAsia" w:ascii="楷体_GB2312" w:hAnsi="楷体_GB2312" w:eastAsia="楷体_GB2312" w:cs="楷体_GB2312"/>
          <w:sz w:val="32"/>
          <w:szCs w:val="32"/>
          <w:lang w:val="en-US" w:eastAsia="zh-CN"/>
        </w:rPr>
        <w:t>机关服务</w:t>
      </w:r>
      <w:r>
        <w:rPr>
          <w:rFonts w:hint="eastAsia" w:ascii="楷体_GB2312" w:hAnsi="楷体_GB2312" w:eastAsia="楷体_GB2312" w:cs="楷体_GB2312"/>
          <w:sz w:val="32"/>
          <w:szCs w:val="32"/>
        </w:rPr>
        <w:t>（项）：</w:t>
      </w:r>
      <w:r>
        <w:rPr>
          <w:rFonts w:hint="eastAsia" w:ascii="仿宋_GB2312" w:hAnsi="仿宋_GB2312" w:eastAsia="仿宋_GB2312" w:cs="仿宋_GB2312"/>
          <w:sz w:val="32"/>
          <w:szCs w:val="32"/>
          <w:lang w:val="en-US" w:eastAsia="zh-CN"/>
        </w:rPr>
        <w:t>反映行政单位后勤服务的支出</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eastAsia="zh-CN"/>
        </w:rPr>
        <w:t>（五）</w:t>
      </w:r>
      <w:r>
        <w:rPr>
          <w:rFonts w:hint="eastAsia" w:ascii="楷体_GB2312" w:hAnsi="楷体_GB2312" w:eastAsia="楷体_GB2312" w:cs="楷体_GB2312"/>
          <w:sz w:val="32"/>
          <w:szCs w:val="32"/>
        </w:rPr>
        <w:t>一般公共服务（类）财政事务（款）事业运行（项）：</w:t>
      </w:r>
      <w:r>
        <w:rPr>
          <w:rFonts w:hint="eastAsia" w:ascii="仿宋_GB2312" w:hAnsi="仿宋_GB2312" w:eastAsia="仿宋_GB2312" w:cs="仿宋_GB2312"/>
          <w:sz w:val="32"/>
          <w:szCs w:val="32"/>
        </w:rPr>
        <w:t>反映事业单位的基本支出。</w:t>
      </w:r>
    </w:p>
    <w:p>
      <w:pPr>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eastAsia="zh-CN"/>
        </w:rPr>
        <w:t>（六）</w:t>
      </w:r>
      <w:r>
        <w:rPr>
          <w:rFonts w:hint="eastAsia" w:ascii="楷体_GB2312" w:hAnsi="楷体_GB2312" w:eastAsia="楷体_GB2312" w:cs="楷体_GB2312"/>
          <w:sz w:val="32"/>
          <w:szCs w:val="32"/>
        </w:rPr>
        <w:t>一般公共服务（类）财政事务（款）其他财政事务支出（项）：</w:t>
      </w:r>
      <w:r>
        <w:rPr>
          <w:rFonts w:hint="eastAsia" w:ascii="仿宋_GB2312" w:hAnsi="仿宋_GB2312" w:eastAsia="仿宋_GB2312" w:cs="仿宋_GB2312"/>
          <w:sz w:val="32"/>
          <w:szCs w:val="32"/>
        </w:rPr>
        <w:t>反映除上述项目以外其他财政事务方面的支出。</w:t>
      </w:r>
    </w:p>
    <w:p>
      <w:pPr>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eastAsia="zh-CN"/>
        </w:rPr>
        <w:t>（七）</w:t>
      </w:r>
      <w:r>
        <w:rPr>
          <w:rFonts w:hint="eastAsia" w:ascii="楷体_GB2312" w:hAnsi="楷体_GB2312" w:eastAsia="楷体_GB2312" w:cs="楷体_GB2312"/>
          <w:sz w:val="32"/>
          <w:szCs w:val="32"/>
        </w:rPr>
        <w:t>社会保障和就业（类）行政事业单位养老支出（款）机关事业单位基本养老保险缴费支出（项）：</w:t>
      </w:r>
      <w:r>
        <w:rPr>
          <w:rFonts w:hint="eastAsia" w:ascii="仿宋_GB2312" w:hAnsi="仿宋_GB2312" w:eastAsia="仿宋_GB2312" w:cs="仿宋_GB2312"/>
          <w:sz w:val="32"/>
          <w:szCs w:val="32"/>
        </w:rPr>
        <w:t>反映机关事业单位实施养老保险制度由单位缴纳的基本养老保险费支出。</w:t>
      </w:r>
    </w:p>
    <w:p>
      <w:pPr>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eastAsia="zh-CN"/>
        </w:rPr>
        <w:t>（八）</w:t>
      </w:r>
      <w:r>
        <w:rPr>
          <w:rFonts w:hint="eastAsia" w:ascii="楷体_GB2312" w:hAnsi="楷体_GB2312" w:eastAsia="楷体_GB2312" w:cs="楷体_GB2312"/>
          <w:sz w:val="32"/>
          <w:szCs w:val="32"/>
        </w:rPr>
        <w:t>卫生健康（类）行政事业单位医疗（款）行政单位医疗（项）：</w:t>
      </w:r>
      <w:r>
        <w:rPr>
          <w:rFonts w:hint="eastAsia" w:ascii="仿宋_GB2312" w:hAnsi="仿宋_GB2312" w:eastAsia="仿宋_GB2312" w:cs="仿宋_GB2312"/>
          <w:sz w:val="32"/>
          <w:szCs w:val="32"/>
        </w:rPr>
        <w:t>反映财政部门安排的行政单位基本医疗保险缴费经费。</w:t>
      </w:r>
    </w:p>
    <w:p>
      <w:pPr>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eastAsia="zh-CN"/>
        </w:rPr>
        <w:t>（九）</w:t>
      </w:r>
      <w:r>
        <w:rPr>
          <w:rFonts w:hint="eastAsia" w:ascii="楷体_GB2312" w:hAnsi="楷体_GB2312" w:eastAsia="楷体_GB2312" w:cs="楷体_GB2312"/>
          <w:sz w:val="32"/>
          <w:szCs w:val="32"/>
        </w:rPr>
        <w:t>卫生健康（类）行政事业单位医疗（款）事业单位医疗（项）：</w:t>
      </w:r>
      <w:r>
        <w:rPr>
          <w:rFonts w:hint="eastAsia" w:ascii="仿宋_GB2312" w:hAnsi="仿宋_GB2312" w:eastAsia="仿宋_GB2312" w:cs="仿宋_GB2312"/>
          <w:sz w:val="32"/>
          <w:szCs w:val="32"/>
        </w:rPr>
        <w:t>反映财政部门安排的事业单位基本医疗保险缴费经费。</w:t>
      </w:r>
    </w:p>
    <w:p>
      <w:pPr>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十</w:t>
      </w:r>
      <w:r>
        <w:rPr>
          <w:rFonts w:hint="eastAsia" w:ascii="楷体_GB2312" w:hAnsi="楷体_GB2312" w:eastAsia="楷体_GB2312" w:cs="楷体_GB2312"/>
          <w:sz w:val="32"/>
          <w:szCs w:val="32"/>
        </w:rPr>
        <w:t>）住房保障（类）住房改革支出（款）住房公积金（项）：</w:t>
      </w:r>
      <w:r>
        <w:rPr>
          <w:rFonts w:hint="eastAsia" w:ascii="仿宋_GB2312" w:hAnsi="仿宋_GB2312" w:eastAsia="仿宋_GB2312" w:cs="仿宋_GB2312"/>
          <w:sz w:val="32"/>
          <w:szCs w:val="32"/>
        </w:rPr>
        <w:t>指按照《住房公积金管理条例》的规定，由单位及其在职职工缴存的长期住房储金</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w:t>
      </w: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）基本支出：</w:t>
      </w:r>
      <w:r>
        <w:rPr>
          <w:rFonts w:hint="eastAsia" w:ascii="仿宋_GB2312" w:hAnsi="仿宋_GB2312" w:eastAsia="仿宋_GB2312" w:cs="仿宋_GB2312"/>
          <w:sz w:val="32"/>
          <w:szCs w:val="32"/>
        </w:rPr>
        <w:t>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before="0" w:after="0" w:line="576" w:lineRule="exact"/>
        <w:ind w:firstLine="640"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（十</w:t>
      </w:r>
      <w:r>
        <w:rPr>
          <w:rFonts w:hint="eastAsia" w:ascii="楷体_GB2312" w:hAnsi="楷体_GB2312" w:eastAsia="楷体_GB2312" w:cs="楷体_GB2312"/>
          <w:sz w:val="32"/>
          <w:szCs w:val="32"/>
          <w:lang w:eastAsia="zh-CN"/>
        </w:rPr>
        <w:t>二</w:t>
      </w:r>
      <w:r>
        <w:rPr>
          <w:rFonts w:hint="eastAsia" w:ascii="楷体_GB2312" w:hAnsi="楷体_GB2312" w:eastAsia="楷体_GB2312" w:cs="楷体_GB2312"/>
          <w:sz w:val="32"/>
          <w:szCs w:val="32"/>
        </w:rPr>
        <w:t>）项目支出：</w:t>
      </w:r>
      <w:r>
        <w:rPr>
          <w:rFonts w:hint="eastAsia" w:ascii="仿宋_GB2312" w:hAnsi="仿宋_GB2312" w:eastAsia="仿宋_GB2312" w:cs="仿宋_GB2312"/>
          <w:sz w:val="32"/>
          <w:szCs w:val="32"/>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（十三）“三公”经费：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（十四）机关运行经费：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color w:val="FF0000"/>
          <w:sz w:val="32"/>
          <w:szCs w:val="32"/>
          <w:lang w:eastAsia="zh-CN"/>
        </w:rPr>
      </w:pPr>
    </w:p>
    <w:sectPr>
      <w:footerReference r:id="rId3"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Vijaya">
    <w:panose1 w:val="020B0604020202020204"/>
    <w:charset w:val="00"/>
    <w:family w:val="auto"/>
    <w:pitch w:val="default"/>
    <w:sig w:usb0="0010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kNmY3ZTgyOGFlMTUyNDE5ODMwYjMzMTE1ZjM0ODYifQ=="/>
  </w:docVars>
  <w:rsids>
    <w:rsidRoot w:val="00000000"/>
    <w:rsid w:val="012352D1"/>
    <w:rsid w:val="0EF556B5"/>
    <w:rsid w:val="1B4B5C73"/>
    <w:rsid w:val="1DFD2C21"/>
    <w:rsid w:val="1F7BF06F"/>
    <w:rsid w:val="1FD756B5"/>
    <w:rsid w:val="1FEE4B73"/>
    <w:rsid w:val="23BF3A5A"/>
    <w:rsid w:val="23CE9849"/>
    <w:rsid w:val="2DBB3321"/>
    <w:rsid w:val="377BC18F"/>
    <w:rsid w:val="37DF89B5"/>
    <w:rsid w:val="39F304DD"/>
    <w:rsid w:val="3A6EB1F0"/>
    <w:rsid w:val="3FEFFB2E"/>
    <w:rsid w:val="41DA5D39"/>
    <w:rsid w:val="47FA2809"/>
    <w:rsid w:val="49067BC5"/>
    <w:rsid w:val="4E7274EE"/>
    <w:rsid w:val="4EDDC789"/>
    <w:rsid w:val="4FBF71E6"/>
    <w:rsid w:val="54244390"/>
    <w:rsid w:val="54662A63"/>
    <w:rsid w:val="54FF60D3"/>
    <w:rsid w:val="56FF409F"/>
    <w:rsid w:val="58064E12"/>
    <w:rsid w:val="5BFEE015"/>
    <w:rsid w:val="5EDF6917"/>
    <w:rsid w:val="632721C0"/>
    <w:rsid w:val="63EDCF55"/>
    <w:rsid w:val="63FBFBCF"/>
    <w:rsid w:val="669360FD"/>
    <w:rsid w:val="68FF6A83"/>
    <w:rsid w:val="6EDF559F"/>
    <w:rsid w:val="6EFE3F51"/>
    <w:rsid w:val="6FBBC9CF"/>
    <w:rsid w:val="72BDE561"/>
    <w:rsid w:val="76CFFDCC"/>
    <w:rsid w:val="78462278"/>
    <w:rsid w:val="7997EA6C"/>
    <w:rsid w:val="7A37E334"/>
    <w:rsid w:val="7A5936DD"/>
    <w:rsid w:val="7AEAE675"/>
    <w:rsid w:val="7BAFCE5D"/>
    <w:rsid w:val="7C2FB61E"/>
    <w:rsid w:val="7D46598C"/>
    <w:rsid w:val="7DFB240B"/>
    <w:rsid w:val="7E0935ED"/>
    <w:rsid w:val="7FB3AAA4"/>
    <w:rsid w:val="7FCF2AF7"/>
    <w:rsid w:val="7FED8405"/>
    <w:rsid w:val="83B7EAAE"/>
    <w:rsid w:val="9F3FA5DB"/>
    <w:rsid w:val="9FEF033D"/>
    <w:rsid w:val="A27FF1E5"/>
    <w:rsid w:val="AF5E6D48"/>
    <w:rsid w:val="AFDEB5A7"/>
    <w:rsid w:val="AFEA7FBF"/>
    <w:rsid w:val="B5D7AFEF"/>
    <w:rsid w:val="B83F4767"/>
    <w:rsid w:val="BCD30597"/>
    <w:rsid w:val="BDDFBDE0"/>
    <w:rsid w:val="BF930F07"/>
    <w:rsid w:val="BFCE8436"/>
    <w:rsid w:val="BFFD9E85"/>
    <w:rsid w:val="C3F7EB7A"/>
    <w:rsid w:val="C77740A2"/>
    <w:rsid w:val="CFF5FEEC"/>
    <w:rsid w:val="D3DD9064"/>
    <w:rsid w:val="D6F76A0C"/>
    <w:rsid w:val="D77FDAC3"/>
    <w:rsid w:val="D7ECE8D2"/>
    <w:rsid w:val="DCDF8594"/>
    <w:rsid w:val="DDD30530"/>
    <w:rsid w:val="DF1CCFD9"/>
    <w:rsid w:val="DFBF6BBD"/>
    <w:rsid w:val="DFDD4FB5"/>
    <w:rsid w:val="DFFF79D4"/>
    <w:rsid w:val="DFFFB8D5"/>
    <w:rsid w:val="E5FD1BC8"/>
    <w:rsid w:val="E7F748B5"/>
    <w:rsid w:val="ED2356F2"/>
    <w:rsid w:val="EE5F3713"/>
    <w:rsid w:val="EEDF51E3"/>
    <w:rsid w:val="EFB5FA01"/>
    <w:rsid w:val="EFC9D62C"/>
    <w:rsid w:val="F3E917DB"/>
    <w:rsid w:val="F5AB567C"/>
    <w:rsid w:val="F6BE9755"/>
    <w:rsid w:val="F6EB309F"/>
    <w:rsid w:val="F6EF7BD9"/>
    <w:rsid w:val="F6FF5381"/>
    <w:rsid w:val="F6FFA89B"/>
    <w:rsid w:val="FAE4EFE1"/>
    <w:rsid w:val="FAFF80BE"/>
    <w:rsid w:val="FB9B6F12"/>
    <w:rsid w:val="FBB66A4A"/>
    <w:rsid w:val="FD10A0CA"/>
    <w:rsid w:val="FDEE6989"/>
    <w:rsid w:val="FEFA093F"/>
    <w:rsid w:val="FF5E7DB8"/>
    <w:rsid w:val="FF77E367"/>
    <w:rsid w:val="FF9FDCBC"/>
    <w:rsid w:val="FFD576EB"/>
    <w:rsid w:val="FFDB248C"/>
    <w:rsid w:val="FFEFC16B"/>
    <w:rsid w:val="FFFBE8B7"/>
    <w:rsid w:val="FFFF562E"/>
    <w:rsid w:val="FFFF987F"/>
    <w:rsid w:val="FFFFF0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2">
    <w:name w:val="Default Paragraph Font"/>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autoRedefine/>
    <w:qFormat/>
    <w:uiPriority w:val="0"/>
    <w:pPr>
      <w:ind w:firstLine="420" w:firstLineChars="200"/>
    </w:pPr>
  </w:style>
  <w:style w:type="paragraph" w:styleId="3">
    <w:name w:val="Body Text Indent"/>
    <w:basedOn w:val="1"/>
    <w:qFormat/>
    <w:uiPriority w:val="0"/>
    <w:pPr>
      <w:spacing w:afterLines="0" w:afterAutospacing="0"/>
      <w:ind w:left="420" w:leftChars="200"/>
    </w:pPr>
  </w:style>
  <w:style w:type="paragraph" w:styleId="4">
    <w:name w:val="Normal Indent"/>
    <w:basedOn w:val="1"/>
    <w:qFormat/>
    <w:uiPriority w:val="0"/>
    <w:pPr>
      <w:ind w:firstLine="420" w:firstLineChars="200"/>
    </w:pPr>
  </w:style>
  <w:style w:type="paragraph" w:styleId="5">
    <w:name w:val="caption"/>
    <w:basedOn w:val="1"/>
    <w:next w:val="1"/>
    <w:qFormat/>
    <w:uiPriority w:val="0"/>
    <w:pPr>
      <w:widowControl w:val="0"/>
      <w:suppressLineNumbers/>
      <w:suppressAutoHyphens/>
      <w:spacing w:before="120" w:after="120"/>
    </w:pPr>
    <w:rPr>
      <w:i/>
      <w:iCs/>
      <w:sz w:val="24"/>
      <w:szCs w:val="24"/>
    </w:rPr>
  </w:style>
  <w:style w:type="paragraph" w:styleId="6">
    <w:name w:val="Body Text"/>
    <w:basedOn w:val="1"/>
    <w:qFormat/>
    <w:uiPriority w:val="0"/>
    <w:pPr>
      <w:spacing w:before="0" w:after="140" w:line="276" w:lineRule="auto"/>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List"/>
    <w:basedOn w:val="6"/>
    <w:qFormat/>
    <w:uiPriority w:val="0"/>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默认段落字体1"/>
    <w:qFormat/>
    <w:uiPriority w:val="0"/>
  </w:style>
  <w:style w:type="paragraph" w:customStyle="1" w:styleId="14">
    <w:name w:val="Heading"/>
    <w:basedOn w:val="1"/>
    <w:next w:val="6"/>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Office_12.1.0.16417_F1E327BC-269C-435d-A152-05C5408002CA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2018-12-01T09:47:00Z</dcterms:created>
  <dc:creator>admin</dc:creator>
  <cp:lastModifiedBy> </cp:lastModifiedBy>
  <dcterms:modified xsi:type="dcterms:W3CDTF">2024-04-07T09:48:13Z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96081F72B7444D3C8C1C7DDAED24732C_13</vt:lpwstr>
  </property>
</Properties>
</file>